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3" w:rsidRDefault="00494CBE">
      <w:pPr>
        <w:spacing w:after="54" w:line="240" w:lineRule="auto"/>
        <w:ind w:left="10" w:right="106" w:hanging="10"/>
        <w:jc w:val="center"/>
        <w:rPr>
          <w:sz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895694" cy="109537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9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4000500</wp:posOffset>
            </wp:positionH>
            <wp:positionV relativeFrom="paragraph">
              <wp:posOffset>171450</wp:posOffset>
            </wp:positionV>
            <wp:extent cx="2608036" cy="109537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03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73" w:rsidRDefault="00E33773">
      <w:pPr>
        <w:spacing w:after="54" w:line="240" w:lineRule="auto"/>
        <w:ind w:left="10" w:right="106" w:hanging="10"/>
        <w:jc w:val="center"/>
        <w:rPr>
          <w:sz w:val="30"/>
        </w:rPr>
      </w:pPr>
    </w:p>
    <w:p w:rsidR="00E33773" w:rsidRDefault="00E33773">
      <w:pPr>
        <w:spacing w:after="54" w:line="240" w:lineRule="auto"/>
        <w:ind w:left="10" w:right="106" w:hanging="10"/>
        <w:jc w:val="center"/>
        <w:rPr>
          <w:sz w:val="30"/>
        </w:rPr>
      </w:pPr>
    </w:p>
    <w:p w:rsidR="00E33773" w:rsidRDefault="00E33773">
      <w:pPr>
        <w:spacing w:after="54" w:line="240" w:lineRule="auto"/>
        <w:ind w:left="10" w:right="106" w:hanging="10"/>
        <w:jc w:val="center"/>
        <w:rPr>
          <w:sz w:val="30"/>
        </w:rPr>
      </w:pPr>
    </w:p>
    <w:p w:rsidR="00E33773" w:rsidRDefault="00E33773">
      <w:pPr>
        <w:spacing w:after="54" w:line="240" w:lineRule="auto"/>
        <w:ind w:left="10" w:right="106" w:hanging="10"/>
        <w:jc w:val="center"/>
        <w:rPr>
          <w:sz w:val="30"/>
        </w:rPr>
      </w:pPr>
    </w:p>
    <w:p w:rsidR="00E33773" w:rsidRDefault="00494CBE">
      <w:pPr>
        <w:spacing w:after="54" w:line="240" w:lineRule="auto"/>
        <w:ind w:right="106"/>
        <w:jc w:val="center"/>
        <w:rPr>
          <w:sz w:val="30"/>
        </w:rPr>
      </w:pPr>
      <w:r>
        <w:rPr>
          <w:sz w:val="30"/>
        </w:rPr>
        <w:t xml:space="preserve">LIFACS Grant Opportunity </w:t>
      </w:r>
    </w:p>
    <w:p w:rsidR="00E33773" w:rsidRDefault="00494CBE">
      <w:pPr>
        <w:spacing w:after="54" w:line="240" w:lineRule="auto"/>
        <w:ind w:right="106"/>
        <w:jc w:val="center"/>
        <w:rPr>
          <w:sz w:val="30"/>
        </w:rPr>
      </w:pPr>
      <w:r>
        <w:rPr>
          <w:sz w:val="30"/>
        </w:rPr>
        <w:t>2020-2021</w:t>
      </w:r>
    </w:p>
    <w:p w:rsidR="00E33773" w:rsidRDefault="00494CBE">
      <w:pPr>
        <w:spacing w:after="145" w:line="240" w:lineRule="auto"/>
        <w:ind w:left="58" w:right="91" w:hanging="10"/>
        <w:jc w:val="both"/>
        <w:rPr>
          <w:sz w:val="28"/>
        </w:rPr>
      </w:pPr>
      <w:bookmarkStart w:id="1" w:name="_gjdgxs"/>
      <w:bookmarkEnd w:id="1"/>
      <w:r>
        <w:rPr>
          <w:sz w:val="28"/>
        </w:rPr>
        <w:t xml:space="preserve">The Long Island Family and Consumer Sciences Professionals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pleased to announce the availability of Grant Funds for the 2020-2021 school year. In its commitment to promote Family and Consumer Sciences, this project is designed to enable and encourage the</w:t>
      </w:r>
      <w:r>
        <w:rPr>
          <w:sz w:val="28"/>
        </w:rPr>
        <w:t xml:space="preserve"> growth of Family &amp; Consumer Sciences Programs in our public schools and communities. A total of two grants will be awarded. The LIFACS Professionals invites all members to submit a </w:t>
      </w:r>
      <w:proofErr w:type="gramStart"/>
      <w:r>
        <w:rPr>
          <w:sz w:val="28"/>
        </w:rPr>
        <w:t>proposal</w:t>
      </w:r>
      <w:proofErr w:type="gramEnd"/>
      <w:r>
        <w:rPr>
          <w:sz w:val="28"/>
        </w:rPr>
        <w:t xml:space="preserve"> for </w:t>
      </w:r>
      <w:r>
        <w:rPr>
          <w:i/>
          <w:sz w:val="28"/>
          <w:u w:val="single"/>
        </w:rPr>
        <w:t xml:space="preserve">up to a maximum of </w:t>
      </w:r>
      <w:r>
        <w:rPr>
          <w:i/>
          <w:color w:val="FF0000"/>
          <w:sz w:val="28"/>
          <w:u w:val="single"/>
        </w:rPr>
        <w:t>$500.00</w:t>
      </w:r>
      <w:r>
        <w:rPr>
          <w:sz w:val="28"/>
        </w:rPr>
        <w:t xml:space="preserve"> for a FACS related project.</w:t>
      </w:r>
    </w:p>
    <w:p w:rsidR="00E33773" w:rsidRDefault="00494CBE">
      <w:pPr>
        <w:spacing w:after="166"/>
        <w:ind w:left="91" w:hanging="10"/>
        <w:rPr>
          <w:sz w:val="28"/>
        </w:rPr>
      </w:pPr>
      <w:r>
        <w:rPr>
          <w:sz w:val="28"/>
        </w:rPr>
        <w:t>The ob</w:t>
      </w:r>
      <w:r>
        <w:rPr>
          <w:sz w:val="28"/>
        </w:rPr>
        <w:t>jectives of the project should be based on the goal of supporting one of the following areas of Family and Consumer Sciences (FACS):</w:t>
      </w:r>
    </w:p>
    <w:p w:rsidR="00E33773" w:rsidRDefault="00494CBE">
      <w:pPr>
        <w:numPr>
          <w:ilvl w:val="0"/>
          <w:numId w:val="4"/>
        </w:numPr>
        <w:spacing w:after="47" w:line="240" w:lineRule="auto"/>
        <w:jc w:val="both"/>
        <w:rPr>
          <w:sz w:val="28"/>
        </w:rPr>
      </w:pPr>
      <w:r>
        <w:rPr>
          <w:sz w:val="28"/>
        </w:rPr>
        <w:t>Human Development and Family Studies</w:t>
      </w:r>
    </w:p>
    <w:p w:rsidR="00E33773" w:rsidRDefault="00494CBE">
      <w:pPr>
        <w:numPr>
          <w:ilvl w:val="0"/>
          <w:numId w:val="4"/>
        </w:numPr>
        <w:spacing w:after="3" w:line="265" w:lineRule="auto"/>
        <w:jc w:val="both"/>
        <w:rPr>
          <w:sz w:val="28"/>
        </w:rPr>
      </w:pPr>
      <w:r>
        <w:rPr>
          <w:sz w:val="28"/>
        </w:rPr>
        <w:t>Food Science and Nutrition</w:t>
      </w:r>
    </w:p>
    <w:p w:rsidR="00E33773" w:rsidRDefault="00494CBE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Individual, Family and Community Development</w:t>
      </w:r>
    </w:p>
    <w:p w:rsidR="00E33773" w:rsidRDefault="00494CBE">
      <w:pPr>
        <w:numPr>
          <w:ilvl w:val="0"/>
          <w:numId w:val="4"/>
        </w:numPr>
        <w:spacing w:after="0" w:line="26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Personal Finan</w:t>
      </w:r>
      <w:r>
        <w:rPr>
          <w:color w:val="000000"/>
          <w:sz w:val="28"/>
        </w:rPr>
        <w:t>ce</w:t>
      </w:r>
    </w:p>
    <w:p w:rsidR="00E33773" w:rsidRDefault="00494CBE">
      <w:pPr>
        <w:numPr>
          <w:ilvl w:val="0"/>
          <w:numId w:val="4"/>
        </w:numPr>
        <w:spacing w:after="47" w:line="240" w:lineRule="auto"/>
        <w:jc w:val="both"/>
        <w:rPr>
          <w:sz w:val="28"/>
        </w:rPr>
      </w:pPr>
      <w:r>
        <w:rPr>
          <w:sz w:val="28"/>
        </w:rPr>
        <w:t>Apparel Design and Manufacturing</w:t>
      </w:r>
    </w:p>
    <w:p w:rsidR="00E33773" w:rsidRDefault="00494CBE">
      <w:pPr>
        <w:numPr>
          <w:ilvl w:val="0"/>
          <w:numId w:val="4"/>
        </w:numPr>
        <w:spacing w:after="3" w:line="265" w:lineRule="auto"/>
        <w:jc w:val="both"/>
        <w:rPr>
          <w:sz w:val="28"/>
        </w:rPr>
      </w:pPr>
      <w:r>
        <w:rPr>
          <w:sz w:val="28"/>
        </w:rPr>
        <w:t>Consumer Studies and Retailing</w:t>
      </w:r>
    </w:p>
    <w:p w:rsidR="00E33773" w:rsidRDefault="00494CBE">
      <w:pPr>
        <w:numPr>
          <w:ilvl w:val="0"/>
          <w:numId w:val="4"/>
        </w:numPr>
        <w:spacing w:after="0" w:line="26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Housing and Interior Design</w:t>
      </w:r>
    </w:p>
    <w:p w:rsidR="00E33773" w:rsidRDefault="00494CBE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Career Development</w:t>
      </w:r>
    </w:p>
    <w:p w:rsidR="00E33773" w:rsidRDefault="00494CBE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Hospitality Services and Culinary Arts</w:t>
      </w:r>
    </w:p>
    <w:p w:rsidR="00E33773" w:rsidRDefault="00E33773">
      <w:pPr>
        <w:spacing w:after="0" w:line="240" w:lineRule="auto"/>
        <w:ind w:left="360"/>
        <w:jc w:val="both"/>
        <w:rPr>
          <w:sz w:val="24"/>
        </w:rPr>
      </w:pPr>
    </w:p>
    <w:p w:rsidR="00E33773" w:rsidRDefault="00494CBE">
      <w:pPr>
        <w:spacing w:after="0" w:line="240" w:lineRule="auto"/>
        <w:ind w:left="360" w:hanging="270"/>
        <w:jc w:val="both"/>
        <w:rPr>
          <w:sz w:val="28"/>
        </w:rPr>
      </w:pPr>
      <w:r>
        <w:rPr>
          <w:sz w:val="28"/>
        </w:rPr>
        <w:t>Other Project Requirements:</w:t>
      </w:r>
    </w:p>
    <w:p w:rsidR="00E33773" w:rsidRDefault="00E33773">
      <w:pPr>
        <w:spacing w:after="0" w:line="240" w:lineRule="auto"/>
        <w:ind w:left="360" w:hanging="270"/>
        <w:jc w:val="both"/>
        <w:rPr>
          <w:sz w:val="20"/>
        </w:rPr>
      </w:pPr>
    </w:p>
    <w:p w:rsidR="00E33773" w:rsidRDefault="00494CBE">
      <w:pPr>
        <w:numPr>
          <w:ilvl w:val="0"/>
          <w:numId w:val="3"/>
        </w:numPr>
        <w:spacing w:after="0" w:line="276" w:lineRule="auto"/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The application must be submitted on our website at, </w:t>
      </w:r>
      <w:hyperlink r:id="rId10">
        <w:r>
          <w:rPr>
            <w:color w:val="0563C1"/>
            <w:sz w:val="28"/>
            <w:u w:val="single"/>
          </w:rPr>
          <w:t>www.lifacsprofessionals.org</w:t>
        </w:r>
      </w:hyperlink>
      <w:proofErr w:type="gramStart"/>
      <w:r>
        <w:rPr>
          <w:color w:val="000000"/>
          <w:sz w:val="28"/>
        </w:rPr>
        <w:t>,  no</w:t>
      </w:r>
      <w:proofErr w:type="gramEnd"/>
      <w:r>
        <w:rPr>
          <w:color w:val="000000"/>
          <w:sz w:val="28"/>
        </w:rPr>
        <w:t xml:space="preserve"> later than </w:t>
      </w:r>
      <w:r>
        <w:rPr>
          <w:color w:val="FF0000"/>
          <w:sz w:val="28"/>
        </w:rPr>
        <w:t>June 22, 2020</w:t>
      </w:r>
      <w:r>
        <w:rPr>
          <w:color w:val="000000"/>
          <w:sz w:val="28"/>
        </w:rPr>
        <w:t xml:space="preserve">. Announcement of awards will be made by </w:t>
      </w:r>
      <w:r>
        <w:rPr>
          <w:color w:val="FF0000"/>
          <w:sz w:val="28"/>
        </w:rPr>
        <w:t>August 14th</w:t>
      </w:r>
      <w:r>
        <w:rPr>
          <w:color w:val="000000"/>
          <w:sz w:val="28"/>
        </w:rPr>
        <w:t xml:space="preserve"> and funds will be awarded by </w:t>
      </w:r>
      <w:r>
        <w:rPr>
          <w:color w:val="FF0000"/>
          <w:sz w:val="28"/>
        </w:rPr>
        <w:t xml:space="preserve">August 31, </w:t>
      </w:r>
      <w:r>
        <w:rPr>
          <w:color w:val="FF0000"/>
          <w:sz w:val="28"/>
        </w:rPr>
        <w:t>2020</w:t>
      </w:r>
      <w:r>
        <w:rPr>
          <w:color w:val="000000"/>
          <w:sz w:val="28"/>
        </w:rPr>
        <w:t>.</w:t>
      </w:r>
    </w:p>
    <w:p w:rsidR="00E33773" w:rsidRDefault="00E33773">
      <w:pPr>
        <w:spacing w:after="0" w:line="276" w:lineRule="auto"/>
        <w:ind w:left="720"/>
        <w:rPr>
          <w:color w:val="000000"/>
          <w:sz w:val="16"/>
        </w:rPr>
      </w:pPr>
    </w:p>
    <w:p w:rsidR="00E33773" w:rsidRDefault="00494CBE">
      <w:pPr>
        <w:numPr>
          <w:ilvl w:val="0"/>
          <w:numId w:val="1"/>
        </w:numPr>
        <w:spacing w:after="0" w:line="276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The project should be completed before </w:t>
      </w:r>
      <w:r>
        <w:rPr>
          <w:color w:val="FF0000"/>
          <w:sz w:val="28"/>
        </w:rPr>
        <w:t xml:space="preserve">June </w:t>
      </w:r>
      <w:r>
        <w:rPr>
          <w:color w:val="FF0000"/>
          <w:sz w:val="28"/>
        </w:rPr>
        <w:t>2021</w:t>
      </w:r>
      <w:r>
        <w:rPr>
          <w:color w:val="000000"/>
          <w:sz w:val="28"/>
        </w:rPr>
        <w:t xml:space="preserve">, with a written summary no later than </w:t>
      </w:r>
      <w:r>
        <w:rPr>
          <w:color w:val="FF0000"/>
          <w:sz w:val="28"/>
        </w:rPr>
        <w:t xml:space="preserve">July 31, </w:t>
      </w:r>
      <w:r>
        <w:rPr>
          <w:color w:val="FF0000"/>
          <w:sz w:val="28"/>
        </w:rPr>
        <w:t>2021</w:t>
      </w:r>
      <w:r>
        <w:rPr>
          <w:color w:val="000000"/>
          <w:sz w:val="28"/>
        </w:rPr>
        <w:t xml:space="preserve"> to the LIFACS Professional Board. The final summary should include project outcomes, record of expenditures, any public relations or media coverage, and any plans for sustainability.  Photos should a</w:t>
      </w:r>
      <w:r>
        <w:rPr>
          <w:color w:val="000000"/>
          <w:sz w:val="28"/>
        </w:rPr>
        <w:t>lso be sent to LIFACS for public relations purposes.</w:t>
      </w:r>
    </w:p>
    <w:p w:rsidR="00E33773" w:rsidRDefault="00494CBE">
      <w:pPr>
        <w:numPr>
          <w:ilvl w:val="3"/>
          <w:numId w:val="1"/>
        </w:numPr>
        <w:spacing w:after="0" w:line="276" w:lineRule="auto"/>
        <w:ind w:left="72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The project must be presented or displayed at the Fall Professional Development conference in </w:t>
      </w:r>
      <w:r>
        <w:rPr>
          <w:color w:val="FF0000"/>
          <w:sz w:val="28"/>
        </w:rPr>
        <w:t>2021.</w:t>
      </w:r>
    </w:p>
    <w:p w:rsidR="00E33773" w:rsidRDefault="00E33773">
      <w:pPr>
        <w:spacing w:after="0" w:line="276" w:lineRule="auto"/>
        <w:ind w:left="720"/>
        <w:rPr>
          <w:color w:val="000000"/>
          <w:sz w:val="16"/>
        </w:rPr>
      </w:pPr>
    </w:p>
    <w:p w:rsidR="00E33773" w:rsidRDefault="00494CBE">
      <w:pPr>
        <w:numPr>
          <w:ilvl w:val="3"/>
          <w:numId w:val="1"/>
        </w:numPr>
        <w:spacing w:after="0" w:line="276" w:lineRule="auto"/>
        <w:ind w:left="720"/>
        <w:rPr>
          <w:color w:val="000000"/>
          <w:sz w:val="28"/>
        </w:rPr>
      </w:pPr>
      <w:r>
        <w:rPr>
          <w:color w:val="000000"/>
          <w:sz w:val="28"/>
        </w:rPr>
        <w:t>Members may apply every year and may only receive a grant every 5 years</w:t>
      </w:r>
      <w:r>
        <w:rPr>
          <w:sz w:val="28"/>
        </w:rPr>
        <w:t>.</w:t>
      </w:r>
    </w:p>
    <w:p w:rsidR="00E33773" w:rsidRDefault="00E33773">
      <w:pPr>
        <w:spacing w:after="0" w:line="276" w:lineRule="auto"/>
        <w:rPr>
          <w:color w:val="000000"/>
          <w:sz w:val="16"/>
        </w:rPr>
      </w:pPr>
    </w:p>
    <w:p w:rsidR="00E33773" w:rsidRDefault="00494CBE">
      <w:pPr>
        <w:numPr>
          <w:ilvl w:val="3"/>
          <w:numId w:val="1"/>
        </w:numPr>
        <w:spacing w:after="554" w:line="276" w:lineRule="auto"/>
        <w:ind w:left="720"/>
        <w:rPr>
          <w:b/>
          <w:i/>
          <w:sz w:val="28"/>
        </w:rPr>
      </w:pPr>
      <w:r>
        <w:rPr>
          <w:b/>
          <w:i/>
          <w:sz w:val="28"/>
        </w:rPr>
        <w:t xml:space="preserve">Applicants MUST maintain </w:t>
      </w:r>
      <w:r>
        <w:rPr>
          <w:b/>
          <w:i/>
          <w:sz w:val="28"/>
        </w:rPr>
        <w:t>active membership for two years; and remain current the year the grant is approved.</w:t>
      </w:r>
    </w:p>
    <w:p w:rsidR="00E33773" w:rsidRDefault="00494CBE">
      <w:pPr>
        <w:spacing w:after="210" w:line="240" w:lineRule="auto"/>
        <w:ind w:left="76"/>
        <w:rPr>
          <w:sz w:val="28"/>
        </w:rPr>
      </w:pPr>
      <w:r>
        <w:rPr>
          <w:sz w:val="28"/>
          <w:u w:val="single"/>
        </w:rPr>
        <w:t>Proposal Guidelines</w:t>
      </w:r>
    </w:p>
    <w:p w:rsidR="00E33773" w:rsidRDefault="00494CBE">
      <w:pPr>
        <w:spacing w:after="196"/>
        <w:ind w:left="81"/>
        <w:rPr>
          <w:sz w:val="28"/>
        </w:rPr>
      </w:pPr>
      <w:r>
        <w:rPr>
          <w:sz w:val="28"/>
        </w:rPr>
        <w:t>The proposal application must include the following:</w:t>
      </w:r>
    </w:p>
    <w:p w:rsidR="00E33773" w:rsidRDefault="00494CBE">
      <w:pPr>
        <w:numPr>
          <w:ilvl w:val="0"/>
          <w:numId w:val="2"/>
        </w:numPr>
        <w:spacing w:after="0" w:line="265" w:lineRule="auto"/>
        <w:ind w:left="630" w:hanging="450"/>
        <w:jc w:val="both"/>
      </w:pPr>
      <w:r>
        <w:rPr>
          <w:color w:val="000000"/>
          <w:sz w:val="28"/>
        </w:rPr>
        <w:t xml:space="preserve">Project title; name of applicant, address, phone </w:t>
      </w:r>
      <w:r>
        <w:rPr>
          <w:noProof/>
          <w:color w:val="000000"/>
          <w:sz w:val="28"/>
        </w:rPr>
        <w:drawing>
          <wp:inline distT="0" distB="0" distL="0" distR="0">
            <wp:extent cx="12192" cy="131064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number, email address; project dates; list of co</w:t>
      </w:r>
      <w:r>
        <w:rPr>
          <w:color w:val="000000"/>
          <w:sz w:val="28"/>
        </w:rPr>
        <w:t>llaborators if applicable; name of person or organization to receive the grant.</w:t>
      </w:r>
    </w:p>
    <w:p w:rsidR="00E33773" w:rsidRDefault="00494CBE">
      <w:pPr>
        <w:numPr>
          <w:ilvl w:val="0"/>
          <w:numId w:val="2"/>
        </w:numPr>
        <w:spacing w:after="0" w:line="265" w:lineRule="auto"/>
        <w:ind w:left="630" w:hanging="450"/>
        <w:jc w:val="both"/>
      </w:pPr>
      <w:r>
        <w:rPr>
          <w:color w:val="000000"/>
          <w:sz w:val="28"/>
        </w:rPr>
        <w:t>Identify problem or need in school or community.</w:t>
      </w:r>
    </w:p>
    <w:p w:rsidR="00E33773" w:rsidRDefault="00494CBE">
      <w:pPr>
        <w:numPr>
          <w:ilvl w:val="0"/>
          <w:numId w:val="2"/>
        </w:numPr>
        <w:spacing w:after="0" w:line="265" w:lineRule="auto"/>
        <w:ind w:left="630" w:hanging="450"/>
        <w:jc w:val="both"/>
      </w:pPr>
      <w:r>
        <w:rPr>
          <w:color w:val="000000"/>
          <w:sz w:val="28"/>
        </w:rPr>
        <w:t>State goal and measurable objectives.</w:t>
      </w:r>
    </w:p>
    <w:p w:rsidR="00E33773" w:rsidRDefault="00494CBE">
      <w:pPr>
        <w:numPr>
          <w:ilvl w:val="0"/>
          <w:numId w:val="2"/>
        </w:numPr>
        <w:spacing w:after="0" w:line="240" w:lineRule="auto"/>
        <w:ind w:left="630" w:hanging="450"/>
        <w:jc w:val="both"/>
      </w:pPr>
      <w:r>
        <w:rPr>
          <w:color w:val="000000"/>
          <w:sz w:val="28"/>
        </w:rPr>
        <w:t>Identify target audience — may include classroom students, any community group, such as s</w:t>
      </w:r>
      <w:r>
        <w:rPr>
          <w:color w:val="000000"/>
          <w:sz w:val="28"/>
        </w:rPr>
        <w:t xml:space="preserve">chool-aged children, families with young children, adults with limited incomes, educators, </w:t>
      </w:r>
      <w:r>
        <w:rPr>
          <w:noProof/>
          <w:color w:val="000000"/>
          <w:sz w:val="28"/>
        </w:rPr>
        <w:drawing>
          <wp:inline distT="0" distB="0" distL="0" distR="0">
            <wp:extent cx="15240" cy="88392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professionals, businesses, agencies, decision/policy makers.</w:t>
      </w:r>
    </w:p>
    <w:p w:rsidR="00E33773" w:rsidRDefault="00494CBE">
      <w:pPr>
        <w:numPr>
          <w:ilvl w:val="0"/>
          <w:numId w:val="2"/>
        </w:numPr>
        <w:spacing w:after="0" w:line="240" w:lineRule="auto"/>
        <w:ind w:left="630" w:hanging="450"/>
        <w:jc w:val="both"/>
      </w:pPr>
      <w:r>
        <w:rPr>
          <w:color w:val="000000"/>
          <w:sz w:val="28"/>
        </w:rPr>
        <w:t xml:space="preserve">Describe activity or program implementation; describe any resources to be used or </w:t>
      </w:r>
      <w:r>
        <w:rPr>
          <w:noProof/>
          <w:color w:val="000000"/>
          <w:sz w:val="28"/>
        </w:rPr>
        <w:drawing>
          <wp:inline distT="0" distB="0" distL="0" distR="0">
            <wp:extent cx="15240" cy="112776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developed; describe </w:t>
      </w:r>
      <w:r>
        <w:rPr>
          <w:color w:val="000000"/>
          <w:sz w:val="28"/>
        </w:rPr>
        <w:t>timeline.</w:t>
      </w:r>
    </w:p>
    <w:p w:rsidR="00E33773" w:rsidRDefault="00494CBE">
      <w:pPr>
        <w:numPr>
          <w:ilvl w:val="0"/>
          <w:numId w:val="2"/>
        </w:numPr>
        <w:spacing w:after="0" w:line="240" w:lineRule="auto"/>
        <w:ind w:left="630" w:hanging="450"/>
        <w:jc w:val="both"/>
      </w:pPr>
      <w:r>
        <w:rPr>
          <w:color w:val="000000"/>
          <w:sz w:val="28"/>
        </w:rPr>
        <w:t>Describe roles and responsibilities of collaborators (co-teachers, etc.), if applicable.</w:t>
      </w:r>
    </w:p>
    <w:p w:rsidR="00E33773" w:rsidRDefault="00494CBE">
      <w:pPr>
        <w:numPr>
          <w:ilvl w:val="0"/>
          <w:numId w:val="2"/>
        </w:numPr>
        <w:spacing w:after="0" w:line="265" w:lineRule="auto"/>
        <w:ind w:left="630" w:hanging="450"/>
        <w:jc w:val="both"/>
      </w:pPr>
      <w:r>
        <w:rPr>
          <w:color w:val="000000"/>
          <w:sz w:val="28"/>
        </w:rPr>
        <w:t xml:space="preserve">Describe the evaluation process — how will outcomes and/or success of the project be measured? </w:t>
      </w:r>
    </w:p>
    <w:p w:rsidR="00E33773" w:rsidRDefault="00494CBE">
      <w:pPr>
        <w:numPr>
          <w:ilvl w:val="0"/>
          <w:numId w:val="2"/>
        </w:numPr>
        <w:spacing w:after="0" w:line="240" w:lineRule="auto"/>
        <w:ind w:left="630" w:hanging="450"/>
        <w:jc w:val="both"/>
      </w:pPr>
      <w:r>
        <w:rPr>
          <w:color w:val="000000"/>
          <w:sz w:val="28"/>
        </w:rPr>
        <w:t xml:space="preserve">Describe any follow-up or continuation of the work after the </w:t>
      </w:r>
      <w:r>
        <w:rPr>
          <w:color w:val="000000"/>
          <w:sz w:val="28"/>
        </w:rPr>
        <w:t>grant funding has ended, if applicable.</w:t>
      </w:r>
    </w:p>
    <w:p w:rsidR="00E33773" w:rsidRDefault="00494CBE">
      <w:pPr>
        <w:numPr>
          <w:ilvl w:val="0"/>
          <w:numId w:val="2"/>
        </w:numPr>
        <w:spacing w:after="0"/>
        <w:ind w:left="630" w:hanging="450"/>
      </w:pPr>
      <w:r>
        <w:rPr>
          <w:color w:val="000000"/>
          <w:sz w:val="28"/>
        </w:rPr>
        <w:t>Provide a detailed budget to show what the grant funds will be used for, such as materials, supplies, etc. Please note that the purchase of durable equipment; such as desks, computers, printers, etc. is not an allowa</w:t>
      </w:r>
      <w:r>
        <w:rPr>
          <w:color w:val="000000"/>
          <w:sz w:val="28"/>
        </w:rPr>
        <w:t>ble expense for the funds.</w:t>
      </w:r>
    </w:p>
    <w:p w:rsidR="00E33773" w:rsidRDefault="00494CBE">
      <w:pPr>
        <w:numPr>
          <w:ilvl w:val="0"/>
          <w:numId w:val="2"/>
        </w:numPr>
        <w:spacing w:after="0" w:line="265" w:lineRule="auto"/>
        <w:ind w:left="630" w:hanging="450"/>
        <w:jc w:val="both"/>
      </w:pPr>
      <w:r>
        <w:rPr>
          <w:color w:val="000000"/>
          <w:sz w:val="28"/>
        </w:rPr>
        <w:t>The following scoring system will be used in the review of submitted proposals, by a committee designated by the board of the LIFACS Professionals.</w:t>
      </w:r>
    </w:p>
    <w:p w:rsidR="00E33773" w:rsidRDefault="00494CBE">
      <w:pPr>
        <w:numPr>
          <w:ilvl w:val="1"/>
          <w:numId w:val="2"/>
        </w:numPr>
        <w:spacing w:after="0" w:line="265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t>Clear goal and measurable objectives — 20 points</w:t>
      </w:r>
    </w:p>
    <w:p w:rsidR="00E33773" w:rsidRDefault="00494CBE">
      <w:pPr>
        <w:numPr>
          <w:ilvl w:val="1"/>
          <w:numId w:val="2"/>
        </w:numPr>
        <w:spacing w:after="0" w:line="265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t>Defined need — 20 points</w:t>
      </w:r>
    </w:p>
    <w:p w:rsidR="00E33773" w:rsidRDefault="00494CBE">
      <w:pPr>
        <w:numPr>
          <w:ilvl w:val="1"/>
          <w:numId w:val="2"/>
        </w:numPr>
        <w:spacing w:after="0" w:line="265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t>Defined</w:t>
      </w:r>
      <w:r>
        <w:rPr>
          <w:color w:val="000000"/>
          <w:sz w:val="28"/>
        </w:rPr>
        <w:t xml:space="preserve"> target audience — 10 points</w:t>
      </w:r>
    </w:p>
    <w:p w:rsidR="00E33773" w:rsidRDefault="00494CBE">
      <w:pPr>
        <w:numPr>
          <w:ilvl w:val="1"/>
          <w:numId w:val="2"/>
        </w:numPr>
        <w:spacing w:after="0" w:line="240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t xml:space="preserve">Collaboration with other teachers/community organizations/impact on school community. —20 points </w:t>
      </w:r>
    </w:p>
    <w:p w:rsidR="00E33773" w:rsidRDefault="00494CBE">
      <w:pPr>
        <w:numPr>
          <w:ilvl w:val="1"/>
          <w:numId w:val="2"/>
        </w:numPr>
        <w:spacing w:after="0" w:line="240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lastRenderedPageBreak/>
        <w:t>Enhancement of one or more of the FACS content areas listed on the first page — 20 points</w:t>
      </w:r>
    </w:p>
    <w:p w:rsidR="00E33773" w:rsidRDefault="00494CBE">
      <w:pPr>
        <w:numPr>
          <w:ilvl w:val="1"/>
          <w:numId w:val="2"/>
        </w:numPr>
        <w:spacing w:after="3" w:line="265" w:lineRule="auto"/>
        <w:ind w:left="810" w:hanging="270"/>
        <w:rPr>
          <w:color w:val="000000"/>
          <w:sz w:val="28"/>
        </w:rPr>
      </w:pPr>
      <w:r>
        <w:rPr>
          <w:color w:val="000000"/>
          <w:sz w:val="28"/>
        </w:rPr>
        <w:t>Evaluation plan — 10 points</w:t>
      </w:r>
    </w:p>
    <w:sectPr w:rsidR="00E33773">
      <w:headerReference w:type="default" r:id="rId14"/>
      <w:footerReference w:type="default" r:id="rId15"/>
      <w:pgSz w:w="12202" w:h="15821"/>
      <w:pgMar w:top="720" w:right="720" w:bottom="720" w:left="720" w:header="4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BE" w:rsidRDefault="00494CBE">
      <w:pPr>
        <w:spacing w:after="0" w:line="240" w:lineRule="auto"/>
      </w:pPr>
      <w:r>
        <w:separator/>
      </w:r>
    </w:p>
  </w:endnote>
  <w:endnote w:type="continuationSeparator" w:id="0">
    <w:p w:rsidR="00494CBE" w:rsidRDefault="004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DC" w:rsidRDefault="00187E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BE" w:rsidRDefault="00494CBE">
      <w:pPr>
        <w:spacing w:after="0" w:line="240" w:lineRule="auto"/>
      </w:pPr>
      <w:r>
        <w:separator/>
      </w:r>
    </w:p>
  </w:footnote>
  <w:footnote w:type="continuationSeparator" w:id="0">
    <w:p w:rsidR="00494CBE" w:rsidRDefault="0049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DC" w:rsidRDefault="00187EDC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304"/>
    <w:multiLevelType w:val="multilevel"/>
    <w:tmpl w:val="FFFFFFFF"/>
    <w:lvl w:ilvl="0">
      <w:start w:val="1"/>
      <w:numFmt w:val="bullet"/>
      <w:lvlText w:val="•"/>
      <w:lvlJc w:val="left"/>
      <w:pPr>
        <w:ind w:left="540" w:hanging="360"/>
      </w:pPr>
      <w:rPr>
        <w:rFonts w:ascii="Calibri" w:hAnsi="Calibri"/>
        <w:b w:val="0"/>
        <w:i w:val="0"/>
        <w:strike w:val="0"/>
        <w:color w:val="000000"/>
        <w:sz w:val="3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>
    <w:nsid w:val="2B285D5F"/>
    <w:multiLevelType w:val="multilevel"/>
    <w:tmpl w:val="FFFFFFFF"/>
    <w:lvl w:ilvl="0">
      <w:start w:val="1"/>
      <w:numFmt w:val="bullet"/>
      <w:lvlText w:val="●"/>
      <w:lvlJc w:val="left"/>
      <w:pPr>
        <w:ind w:left="49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21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93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65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37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09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81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53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259" w:hanging="360"/>
      </w:pPr>
      <w:rPr>
        <w:rFonts w:ascii="Noto Sans Symbols" w:hAnsi="Noto Sans Symbols"/>
      </w:rPr>
    </w:lvl>
  </w:abstractNum>
  <w:abstractNum w:abstractNumId="2">
    <w:nsid w:val="5A3742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">
    <w:nsid w:val="6D675C51"/>
    <w:multiLevelType w:val="multilevel"/>
    <w:tmpl w:val="FFFFFFFF"/>
    <w:lvl w:ilvl="0">
      <w:start w:val="1"/>
      <w:numFmt w:val="bullet"/>
      <w:lvlText w:val="●"/>
      <w:lvlJc w:val="left"/>
      <w:pPr>
        <w:ind w:left="-1931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-1211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-491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2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94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166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38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310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3829" w:hanging="360"/>
      </w:pPr>
      <w:rPr>
        <w:rFonts w:ascii="Noto Sans Symbols" w:hAnsi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C"/>
    <w:rsid w:val="00022F4A"/>
    <w:rsid w:val="0011595D"/>
    <w:rsid w:val="00132D37"/>
    <w:rsid w:val="00187EDC"/>
    <w:rsid w:val="00283B32"/>
    <w:rsid w:val="0034599E"/>
    <w:rsid w:val="00494CBE"/>
    <w:rsid w:val="00926A49"/>
    <w:rsid w:val="00E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facsprofessiona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bunkley</dc:creator>
  <cp:lastModifiedBy>chris bunkley</cp:lastModifiedBy>
  <cp:revision>2</cp:revision>
  <cp:lastPrinted>2019-10-23T15:54:00Z</cp:lastPrinted>
  <dcterms:created xsi:type="dcterms:W3CDTF">2019-11-22T14:12:00Z</dcterms:created>
  <dcterms:modified xsi:type="dcterms:W3CDTF">2019-11-22T14:12:00Z</dcterms:modified>
</cp:coreProperties>
</file>